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C29" w14:textId="46C637C6" w:rsidR="00074C36" w:rsidRPr="00074C36" w:rsidRDefault="00074C36" w:rsidP="00074C36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52"/>
          <w:szCs w:val="20"/>
          <w:lang w:eastAsia="ar-SA" w:bidi="ar-SA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  <w:lang w:eastAsia="ru-RU" w:bidi="ar-SA"/>
        </w:rPr>
        <w:drawing>
          <wp:inline distT="0" distB="0" distL="0" distR="0" wp14:anchorId="42552956" wp14:editId="474BECBF">
            <wp:extent cx="50101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t="23755" r="17525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A300" w14:textId="1899B374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ПОСТАНОВЛЕНИЕ</w:t>
      </w:r>
    </w:p>
    <w:p w14:paraId="542E0DFE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05DB9EB2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АДМИНИСТРАЦИИ СЕЛЬСКОГО ПОСЕЛЕНИЯ</w:t>
      </w:r>
    </w:p>
    <w:p w14:paraId="5563C8D6" w14:textId="691D8398" w:rsidR="00074C36" w:rsidRPr="00074C36" w:rsidRDefault="0016080D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ДОБРИНСКИЙ</w:t>
      </w:r>
      <w:r w:rsidR="00074C36" w:rsidRPr="00074C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СЕЛЬСОВЕТ</w:t>
      </w:r>
    </w:p>
    <w:p w14:paraId="701CA017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Добринского муниципального района Липецкой области</w:t>
      </w:r>
    </w:p>
    <w:p w14:paraId="15369735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6A5381AD" w14:textId="76EA135C" w:rsidR="00074C36" w:rsidRPr="00074C36" w:rsidRDefault="0016080D" w:rsidP="0016080D">
      <w:pPr>
        <w:widowControl/>
        <w:tabs>
          <w:tab w:val="left" w:pos="142"/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27</w:t>
      </w:r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.0</w:t>
      </w:r>
      <w:r w:rsid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.2021г.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п.Добринка</w:t>
      </w:r>
      <w:proofErr w:type="spellEnd"/>
      <w:r w:rsidR="00074C36" w:rsidRPr="00074C3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102</w:t>
      </w:r>
    </w:p>
    <w:p w14:paraId="20A2B73F" w14:textId="77777777"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D5CA6DC" w14:textId="77777777" w:rsidR="00074C36" w:rsidRPr="00074C36" w:rsidRDefault="00074C36" w:rsidP="00074C36">
      <w:pPr>
        <w:widowControl/>
        <w:shd w:val="clear" w:color="auto" w:fill="FFFFFF"/>
        <w:tabs>
          <w:tab w:val="left" w:pos="4147"/>
          <w:tab w:val="left" w:pos="7363"/>
        </w:tabs>
        <w:suppressAutoHyphens/>
        <w:spacing w:before="0" w:after="0"/>
        <w:ind w:left="0" w:right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ar-SA" w:bidi="ar-SA"/>
        </w:rPr>
      </w:pPr>
    </w:p>
    <w:p w14:paraId="20A3E354" w14:textId="2C20B1FD" w:rsidR="00C817FC" w:rsidRPr="00074C36" w:rsidRDefault="00213EBF" w:rsidP="00074C36">
      <w:pPr>
        <w:pStyle w:val="1"/>
        <w:spacing w:before="0" w:after="0"/>
        <w:ind w:left="0" w:righ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формирования и утверждения </w:t>
      </w:r>
      <w:r w:rsid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перечня объектов, 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отношении, которых планируется </w:t>
      </w:r>
      <w:r w:rsid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заключение концессионных соглашений, </w:t>
      </w:r>
      <w:r w:rsidR="00950D64"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Порядка п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ринятия </w:t>
      </w:r>
      <w:r w:rsid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</w:t>
      </w:r>
      <w:r w:rsidRPr="00074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решений о заключении концессионных соглашений</w:t>
      </w:r>
    </w:p>
    <w:p w14:paraId="4A54D4C6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6E105B61"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16080D">
          <w:rPr>
            <w:rFonts w:ascii="Times New Roman" w:hAnsi="Times New Roman" w:cs="Times New Roman"/>
            <w:color w:val="auto"/>
            <w:sz w:val="28"/>
            <w:szCs w:val="28"/>
          </w:rPr>
          <w:t>Добринский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746D45B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2D242162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9B5E4E" w14:textId="30BABFDD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528642" w14:textId="5FFFD5DE"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14:paraId="4CCB7790" w14:textId="012B50CA"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14:paraId="34B6A58E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FA150C" w14:textId="04A550C4" w:rsidR="00C817FC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181FAE" w14:textId="1984440F" w:rsidR="0016080D" w:rsidRDefault="001608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33B1DE" w14:textId="143B50E4" w:rsidR="0016080D" w:rsidRDefault="001608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9AF9FF" w14:textId="4E757AD6" w:rsidR="0016080D" w:rsidRDefault="001608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F63D5C" w14:textId="77777777" w:rsidR="0016080D" w:rsidRPr="00D14B80" w:rsidRDefault="001608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4A71F2" w14:textId="13021121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14:paraId="74B9BFB5" w14:textId="1E58DCF0" w:rsidR="00FB4155" w:rsidRPr="00D14B80" w:rsidRDefault="0016080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Добринский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   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</w:t>
      </w:r>
      <w:proofErr w:type="spellStart"/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Н.В.Чижов</w:t>
      </w:r>
      <w:proofErr w:type="spellEnd"/>
    </w:p>
    <w:p w14:paraId="241BACEB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B7515E2" w14:textId="77777777"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4C5675F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41B839A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E94677D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EC04757" w14:textId="77777777"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AED5C3E" w14:textId="70DE52B1" w:rsidR="00FB4155" w:rsidRPr="002F308C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14:paraId="73CC4EAA" w14:textId="77777777"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585700A1" w14:textId="77777777" w:rsidR="00074C36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14:paraId="76CA04C4" w14:textId="3A37560C" w:rsidR="00FB4155" w:rsidRPr="00D14B80" w:rsidRDefault="0016080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Добринский</w:t>
      </w:r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4AAEAA4C" w14:textId="6C43103F"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16080D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16080D">
        <w:rPr>
          <w:rFonts w:ascii="Times New Roman" w:hAnsi="Times New Roman" w:cs="Times New Roman"/>
          <w:color w:val="auto"/>
          <w:sz w:val="22"/>
          <w:szCs w:val="22"/>
        </w:rPr>
        <w:t>102</w:t>
      </w:r>
    </w:p>
    <w:p w14:paraId="6E5E6C7B" w14:textId="77777777"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D64DC00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1158B043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126EC007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C97D2C" w14:textId="55463259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75D3D666" w14:textId="6A59ABB1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39EBBC11" w14:textId="66878F69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239ABDA1" w14:textId="52CB910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0269A115" w14:textId="24F111C5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29556312" w14:textId="1B0C90C8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4BC6651C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21BD2A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A49209" w14:textId="77777777"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9805B8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206924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6E6950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CAF6BC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0D1929" w14:textId="234FC9E4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Приложение</w:t>
      </w:r>
      <w:r w:rsidR="00074C36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к Порядку </w:t>
      </w:r>
    </w:p>
    <w:p w14:paraId="17062415" w14:textId="0B617EE1"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формирования и</w:t>
      </w:r>
      <w:r w:rsidR="00074C36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утверждения перечня объектов, </w:t>
      </w:r>
    </w:p>
    <w:p w14:paraId="44CA9B52" w14:textId="4C86312B"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отношении</w:t>
      </w:r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14:paraId="4A62AD81" w14:textId="2BB5831D"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46A6FF03" w14:textId="77777777"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64D357C" w14:textId="77777777"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F91E511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14:paraId="6B0D81E2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4BAC2AA0" w14:textId="77777777"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14:paraId="18D341BE" w14:textId="77777777" w:rsidTr="00604F72">
        <w:tc>
          <w:tcPr>
            <w:tcW w:w="667" w:type="dxa"/>
          </w:tcPr>
          <w:p w14:paraId="4B4ADE48" w14:textId="5A274A4C"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14:paraId="123E5DDB" w14:textId="540287B5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14:paraId="7DA34B09" w14:textId="36515B89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14:paraId="7CB31E2A" w14:textId="13C827FD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14:paraId="7C82861C" w14:textId="0B66F3B3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14:paraId="365FEB51" w14:textId="4634DAC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435CE469" w14:textId="77777777" w:rsidTr="00604F72">
        <w:tc>
          <w:tcPr>
            <w:tcW w:w="667" w:type="dxa"/>
          </w:tcPr>
          <w:p w14:paraId="7B8DDC27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C43C4F9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EE8413A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733603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F1B0D76" w14:textId="7E99392D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BE034F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817F27D" w14:textId="77777777" w:rsidR="00C24BFA" w:rsidRPr="00D14B80" w:rsidRDefault="00C24BFA" w:rsidP="00C24BFA">
      <w:pPr>
        <w:pStyle w:val="a0"/>
        <w:rPr>
          <w:color w:val="auto"/>
        </w:rPr>
      </w:pPr>
    </w:p>
    <w:p w14:paraId="305A2B83" w14:textId="77777777" w:rsidR="00604F72" w:rsidRPr="00D14B80" w:rsidRDefault="00604F72" w:rsidP="00C24BFA">
      <w:pPr>
        <w:pStyle w:val="a0"/>
        <w:rPr>
          <w:color w:val="auto"/>
        </w:rPr>
      </w:pPr>
    </w:p>
    <w:p w14:paraId="0E441BA2" w14:textId="77777777" w:rsidR="00604F72" w:rsidRPr="00D14B80" w:rsidRDefault="00604F72" w:rsidP="00C24BFA">
      <w:pPr>
        <w:pStyle w:val="a0"/>
        <w:rPr>
          <w:color w:val="auto"/>
        </w:rPr>
      </w:pPr>
    </w:p>
    <w:p w14:paraId="7A67DF67" w14:textId="77777777" w:rsidR="00604F72" w:rsidRPr="00D14B80" w:rsidRDefault="00604F72" w:rsidP="00C24BFA">
      <w:pPr>
        <w:pStyle w:val="a0"/>
        <w:rPr>
          <w:color w:val="auto"/>
        </w:rPr>
      </w:pPr>
    </w:p>
    <w:p w14:paraId="7DF262F5" w14:textId="77777777" w:rsidR="00604F72" w:rsidRPr="00D14B80" w:rsidRDefault="00604F72" w:rsidP="00C24BFA">
      <w:pPr>
        <w:pStyle w:val="a0"/>
        <w:rPr>
          <w:color w:val="auto"/>
        </w:rPr>
      </w:pPr>
    </w:p>
    <w:p w14:paraId="56CB5600" w14:textId="77777777" w:rsidR="00604F72" w:rsidRPr="00D14B80" w:rsidRDefault="00604F72" w:rsidP="00C24BFA">
      <w:pPr>
        <w:pStyle w:val="a0"/>
        <w:rPr>
          <w:color w:val="auto"/>
        </w:rPr>
      </w:pPr>
    </w:p>
    <w:p w14:paraId="51AF27B9" w14:textId="77777777" w:rsidR="00604F72" w:rsidRPr="00D14B80" w:rsidRDefault="00604F72" w:rsidP="00C24BFA">
      <w:pPr>
        <w:pStyle w:val="a0"/>
        <w:rPr>
          <w:color w:val="auto"/>
        </w:rPr>
      </w:pPr>
    </w:p>
    <w:p w14:paraId="4793C95C" w14:textId="77777777" w:rsidR="00604F72" w:rsidRPr="00D14B80" w:rsidRDefault="00604F72" w:rsidP="00C24BFA">
      <w:pPr>
        <w:pStyle w:val="a0"/>
        <w:rPr>
          <w:color w:val="auto"/>
        </w:rPr>
      </w:pPr>
    </w:p>
    <w:p w14:paraId="0BA0B082" w14:textId="77777777" w:rsidR="00604F72" w:rsidRPr="00D14B80" w:rsidRDefault="00604F72" w:rsidP="00C24BFA">
      <w:pPr>
        <w:pStyle w:val="a0"/>
        <w:rPr>
          <w:color w:val="auto"/>
        </w:rPr>
      </w:pPr>
    </w:p>
    <w:p w14:paraId="2EA015CA" w14:textId="77777777" w:rsidR="00604F72" w:rsidRPr="00D14B80" w:rsidRDefault="00604F72" w:rsidP="00C24BFA">
      <w:pPr>
        <w:pStyle w:val="a0"/>
        <w:rPr>
          <w:color w:val="auto"/>
        </w:rPr>
      </w:pPr>
    </w:p>
    <w:p w14:paraId="4E70A074" w14:textId="77777777" w:rsidR="00604F72" w:rsidRPr="00D14B80" w:rsidRDefault="00604F72" w:rsidP="00C24BFA">
      <w:pPr>
        <w:pStyle w:val="a0"/>
        <w:rPr>
          <w:color w:val="auto"/>
        </w:rPr>
      </w:pPr>
    </w:p>
    <w:p w14:paraId="51C85336" w14:textId="77777777" w:rsidR="00604F72" w:rsidRPr="00D14B80" w:rsidRDefault="00604F72" w:rsidP="00C24BFA">
      <w:pPr>
        <w:pStyle w:val="a0"/>
        <w:rPr>
          <w:color w:val="auto"/>
        </w:rPr>
      </w:pPr>
    </w:p>
    <w:p w14:paraId="0D2D2CFD" w14:textId="77777777" w:rsidR="00604F72" w:rsidRPr="00D14B80" w:rsidRDefault="00604F72" w:rsidP="00C24BFA">
      <w:pPr>
        <w:pStyle w:val="a0"/>
        <w:rPr>
          <w:color w:val="auto"/>
        </w:rPr>
      </w:pPr>
    </w:p>
    <w:p w14:paraId="1923AEBE" w14:textId="77777777" w:rsidR="00604F72" w:rsidRPr="00D14B80" w:rsidRDefault="00604F72" w:rsidP="00C24BFA">
      <w:pPr>
        <w:pStyle w:val="a0"/>
        <w:rPr>
          <w:color w:val="auto"/>
        </w:rPr>
      </w:pPr>
    </w:p>
    <w:p w14:paraId="08F377C8" w14:textId="77777777" w:rsidR="00604F72" w:rsidRPr="00D14B80" w:rsidRDefault="00604F72" w:rsidP="00C24BFA">
      <w:pPr>
        <w:pStyle w:val="a0"/>
        <w:rPr>
          <w:color w:val="auto"/>
        </w:rPr>
      </w:pPr>
    </w:p>
    <w:p w14:paraId="7F46F571" w14:textId="77777777" w:rsidR="00604F72" w:rsidRPr="00D14B80" w:rsidRDefault="00604F72" w:rsidP="00C24BFA">
      <w:pPr>
        <w:pStyle w:val="a0"/>
        <w:rPr>
          <w:color w:val="auto"/>
        </w:rPr>
      </w:pPr>
    </w:p>
    <w:p w14:paraId="6042DC52" w14:textId="77777777" w:rsidR="00604F72" w:rsidRPr="00D14B80" w:rsidRDefault="00604F72" w:rsidP="00C24BFA">
      <w:pPr>
        <w:pStyle w:val="a0"/>
        <w:rPr>
          <w:color w:val="auto"/>
        </w:rPr>
      </w:pPr>
    </w:p>
    <w:p w14:paraId="000B21C4" w14:textId="77777777" w:rsidR="00604F72" w:rsidRPr="00D14B80" w:rsidRDefault="00604F72" w:rsidP="00C24BFA">
      <w:pPr>
        <w:pStyle w:val="a0"/>
        <w:rPr>
          <w:color w:val="auto"/>
        </w:rPr>
      </w:pPr>
    </w:p>
    <w:p w14:paraId="06713074" w14:textId="512BE824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14:paraId="3F5C97E6" w14:textId="77777777"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14:paraId="4B09B548" w14:textId="77777777" w:rsidR="00074C36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14:paraId="5E3C3083" w14:textId="46EAA09D" w:rsidR="00604F72" w:rsidRPr="00D14B80" w:rsidRDefault="0016080D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Добринский</w:t>
      </w:r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14:paraId="15BCC8D4" w14:textId="1C58EE3E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0A005B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</w:t>
      </w:r>
      <w:r w:rsidR="000A005B">
        <w:rPr>
          <w:rFonts w:ascii="Times New Roman" w:hAnsi="Times New Roman" w:cs="Times New Roman"/>
          <w:color w:val="auto"/>
          <w:sz w:val="22"/>
          <w:szCs w:val="22"/>
        </w:rPr>
        <w:t>102</w:t>
      </w:r>
    </w:p>
    <w:p w14:paraId="6F03D40C" w14:textId="77777777"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9EBF09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40137404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14:paraId="45569CB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C5E09C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10467DE4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5856A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701928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625DEAC6" w14:textId="719648D7"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14:paraId="4804A99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75E9C7E9" w14:textId="073F539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24A7243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3B2615E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F22D4F3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4651E429" w14:textId="141B5568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6503130" w14:textId="4EAAC5D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0874DE3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3D7BE025" w14:textId="067DA94B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5452BFE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598362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61D247" w14:textId="18F3EFFC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b/>
          <w:color w:val="auto"/>
          <w:sz w:val="28"/>
          <w:szCs w:val="28"/>
        </w:rPr>
        <w:t>Добринский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2CCC76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28B117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750AC3E9" w14:textId="6F1EB1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390AA766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68C4C12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5F32F1D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4074F543" w14:textId="07857B46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1AA516E4" w14:textId="77777777"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82884EE" w14:textId="4A6BF2B5" w:rsidR="00604F72" w:rsidRP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даты, указанной в пункте 2.2.</w:t>
      </w:r>
    </w:p>
    <w:p w14:paraId="65804FE9" w14:textId="6E91E5AC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6AF76082" w14:textId="1665248E"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068599DE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3452431A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3769F927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BB23BE5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0686995B" w14:textId="3FB08128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74B5E743" w14:textId="21F98435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0175DFD1" w14:textId="6276C2EE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9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2180CC0" w14:textId="092DDCE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0FADE198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B439E8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91E458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04F01" w14:textId="6C6F031F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21.05.2005 </w:t>
        </w:r>
        <w:r w:rsidR="00222211">
          <w:rPr>
            <w:rFonts w:ascii="Times New Roman" w:hAnsi="Times New Roman" w:cs="Times New Roman"/>
            <w:color w:val="auto"/>
            <w:sz w:val="28"/>
            <w:szCs w:val="28"/>
          </w:rPr>
          <w:t xml:space="preserve">          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14:paraId="295DE568" w14:textId="38639EF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1236A019" w14:textId="624F569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54A8A657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6502277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1EB1654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9B06286" w14:textId="0BE89923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94DFE7D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168785ED" w14:textId="7028F5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682997DB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B3A6B2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14:paraId="6D0EB0FC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A8A7D5" w14:textId="54C0ECF9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080D">
        <w:rPr>
          <w:rFonts w:ascii="Times New Roman" w:hAnsi="Times New Roman" w:cs="Times New Roman"/>
          <w:color w:val="auto"/>
          <w:sz w:val="28"/>
          <w:szCs w:val="28"/>
        </w:rPr>
        <w:t>Добринский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14:paraId="00EAC939" w14:textId="77777777"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>
      <w:headerReference w:type="default" r:id="rId28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E2AD" w14:textId="77777777" w:rsidR="00E96054" w:rsidRDefault="00E96054" w:rsidP="00A34F6C">
      <w:pPr>
        <w:spacing w:before="0" w:after="0"/>
      </w:pPr>
      <w:r>
        <w:separator/>
      </w:r>
    </w:p>
  </w:endnote>
  <w:endnote w:type="continuationSeparator" w:id="0">
    <w:p w14:paraId="4F5B78FC" w14:textId="77777777" w:rsidR="00E96054" w:rsidRDefault="00E96054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77CE" w14:textId="77777777" w:rsidR="00E96054" w:rsidRDefault="00E96054" w:rsidP="00A34F6C">
      <w:pPr>
        <w:spacing w:before="0" w:after="0"/>
      </w:pPr>
      <w:r>
        <w:separator/>
      </w:r>
    </w:p>
  </w:footnote>
  <w:footnote w:type="continuationSeparator" w:id="0">
    <w:p w14:paraId="6F4EC63D" w14:textId="77777777" w:rsidR="00E96054" w:rsidRDefault="00E96054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4280" w14:textId="0A369E0C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FC"/>
    <w:rsid w:val="000009C2"/>
    <w:rsid w:val="00044814"/>
    <w:rsid w:val="00074C36"/>
    <w:rsid w:val="000A005B"/>
    <w:rsid w:val="0015236B"/>
    <w:rsid w:val="00153F70"/>
    <w:rsid w:val="0016080D"/>
    <w:rsid w:val="001B0432"/>
    <w:rsid w:val="001C0E14"/>
    <w:rsid w:val="00213EBF"/>
    <w:rsid w:val="00222211"/>
    <w:rsid w:val="002F308C"/>
    <w:rsid w:val="003106E1"/>
    <w:rsid w:val="00331B21"/>
    <w:rsid w:val="003E73E4"/>
    <w:rsid w:val="00445B13"/>
    <w:rsid w:val="0056530A"/>
    <w:rsid w:val="00604F72"/>
    <w:rsid w:val="006142E1"/>
    <w:rsid w:val="00684E57"/>
    <w:rsid w:val="006D57DA"/>
    <w:rsid w:val="006F5740"/>
    <w:rsid w:val="007977A6"/>
    <w:rsid w:val="007C1D85"/>
    <w:rsid w:val="008023B4"/>
    <w:rsid w:val="00856CDA"/>
    <w:rsid w:val="00950D64"/>
    <w:rsid w:val="00967033"/>
    <w:rsid w:val="009A453C"/>
    <w:rsid w:val="009A7F50"/>
    <w:rsid w:val="00A104ED"/>
    <w:rsid w:val="00A34F6C"/>
    <w:rsid w:val="00A77FCA"/>
    <w:rsid w:val="00AB53C3"/>
    <w:rsid w:val="00AB5F0B"/>
    <w:rsid w:val="00BB3DC8"/>
    <w:rsid w:val="00BB548F"/>
    <w:rsid w:val="00C02051"/>
    <w:rsid w:val="00C03FB0"/>
    <w:rsid w:val="00C24BFA"/>
    <w:rsid w:val="00C26AE9"/>
    <w:rsid w:val="00C33A5B"/>
    <w:rsid w:val="00C817FC"/>
    <w:rsid w:val="00D00CDE"/>
    <w:rsid w:val="00D06974"/>
    <w:rsid w:val="00D14B80"/>
    <w:rsid w:val="00E00587"/>
    <w:rsid w:val="00E96054"/>
    <w:rsid w:val="00ED2BE1"/>
    <w:rsid w:val="00EE0C00"/>
    <w:rsid w:val="00F00918"/>
    <w:rsid w:val="00F51BA8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  <w15:docId w15:val="{E8B2820D-98BD-4D58-B8DC-49A945E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98b1079-f74d-4f2f-8a25-cf66bb53e72b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ea4730e2-0388-4aee-bd89-0cbc2c54574b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stup.scli.ru:8111/content/act/ea4730e2-0388-4aee-bd89-0cbc2c54574b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user</cp:lastModifiedBy>
  <cp:revision>26</cp:revision>
  <cp:lastPrinted>2021-07-28T06:43:00Z</cp:lastPrinted>
  <dcterms:created xsi:type="dcterms:W3CDTF">2020-08-13T10:48:00Z</dcterms:created>
  <dcterms:modified xsi:type="dcterms:W3CDTF">2021-07-28T06:57:00Z</dcterms:modified>
  <dc:language>en-US</dc:language>
</cp:coreProperties>
</file>