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2156568</wp:posOffset>
            </wp:positionH>
            <wp:positionV relativeFrom="paragraph">
              <wp:posOffset>-303566</wp:posOffset>
            </wp:positionV>
            <wp:extent cx="730549" cy="8453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9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517"/>
      </w:tblGrid>
      <w:tr w:rsidR="001706D7" w:rsidTr="001706D7">
        <w:trPr>
          <w:cantSplit/>
          <w:trHeight w:val="843"/>
        </w:trPr>
        <w:tc>
          <w:tcPr>
            <w:tcW w:w="9924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371BB1" w:rsidRPr="00371BB1" w:rsidRDefault="001706D7" w:rsidP="00371BB1">
            <w:pPr>
              <w:pStyle w:val="a7"/>
            </w:pPr>
            <w:r w:rsidRPr="00371BB1">
              <w:t xml:space="preserve"> ПОСТАНОВЛЕНИЕ</w:t>
            </w:r>
          </w:p>
          <w:p w:rsidR="001706D7" w:rsidRPr="00371BB1" w:rsidRDefault="001706D7" w:rsidP="001706D7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9506C3" w:rsidRPr="00371BB1">
              <w:rPr>
                <w:b/>
                <w:sz w:val="28"/>
                <w:szCs w:val="28"/>
              </w:rPr>
              <w:t>Добринский</w:t>
            </w:r>
            <w:proofErr w:type="spellEnd"/>
            <w:r w:rsidRPr="00371BB1">
              <w:rPr>
                <w:b/>
                <w:sz w:val="28"/>
                <w:szCs w:val="28"/>
              </w:rPr>
              <w:t xml:space="preserve"> сельсовет</w:t>
            </w:r>
          </w:p>
          <w:p w:rsidR="001706D7" w:rsidRPr="00371BB1" w:rsidRDefault="001706D7" w:rsidP="001706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1BB1">
              <w:rPr>
                <w:b/>
                <w:sz w:val="28"/>
                <w:szCs w:val="28"/>
              </w:rPr>
              <w:t>Добринского</w:t>
            </w:r>
            <w:proofErr w:type="spellEnd"/>
            <w:r w:rsidRPr="00371BB1">
              <w:rPr>
                <w:b/>
                <w:sz w:val="28"/>
                <w:szCs w:val="28"/>
              </w:rPr>
              <w:t xml:space="preserve"> муниципального </w:t>
            </w:r>
            <w:r w:rsidR="006E7C9C" w:rsidRPr="00371BB1">
              <w:rPr>
                <w:b/>
                <w:sz w:val="28"/>
                <w:szCs w:val="28"/>
              </w:rPr>
              <w:t>района</w:t>
            </w:r>
            <w:r w:rsidRPr="00371BB1">
              <w:rPr>
                <w:b/>
                <w:sz w:val="28"/>
                <w:szCs w:val="28"/>
              </w:rPr>
              <w:t xml:space="preserve"> Липецкой области</w:t>
            </w:r>
          </w:p>
          <w:p w:rsidR="001706D7" w:rsidRPr="00371BB1" w:rsidRDefault="001706D7" w:rsidP="001706D7">
            <w:pPr>
              <w:jc w:val="center"/>
              <w:rPr>
                <w:b/>
                <w:sz w:val="28"/>
                <w:szCs w:val="28"/>
              </w:rPr>
            </w:pPr>
            <w:r w:rsidRPr="00371BB1">
              <w:rPr>
                <w:b/>
                <w:sz w:val="28"/>
                <w:szCs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1706D7">
        <w:trPr>
          <w:cantSplit/>
          <w:trHeight w:val="465"/>
        </w:trPr>
        <w:tc>
          <w:tcPr>
            <w:tcW w:w="3203" w:type="dxa"/>
          </w:tcPr>
          <w:p w:rsidR="001706D7" w:rsidRPr="00371BB1" w:rsidRDefault="00BB1556" w:rsidP="001706D7">
            <w:pPr>
              <w:tabs>
                <w:tab w:val="left" w:pos="420"/>
              </w:tabs>
              <w:spacing w:line="360" w:lineRule="atLeast"/>
              <w:rPr>
                <w:rStyle w:val="ab"/>
                <w:b w:val="0"/>
              </w:rPr>
            </w:pPr>
            <w:r w:rsidRPr="00371BB1">
              <w:rPr>
                <w:rStyle w:val="ab"/>
                <w:b w:val="0"/>
              </w:rPr>
              <w:t xml:space="preserve">               01</w:t>
            </w:r>
            <w:r w:rsidR="001706D7" w:rsidRPr="00371BB1">
              <w:rPr>
                <w:rStyle w:val="ab"/>
                <w:b w:val="0"/>
              </w:rPr>
              <w:t xml:space="preserve">.10. 2018 г.     </w:t>
            </w:r>
          </w:p>
        </w:tc>
        <w:tc>
          <w:tcPr>
            <w:tcW w:w="3204" w:type="dxa"/>
          </w:tcPr>
          <w:p w:rsidR="001706D7" w:rsidRPr="00371BB1" w:rsidRDefault="009506C3" w:rsidP="001706D7">
            <w:pPr>
              <w:spacing w:line="360" w:lineRule="atLeast"/>
              <w:jc w:val="center"/>
              <w:rPr>
                <w:rStyle w:val="ab"/>
                <w:b w:val="0"/>
              </w:rPr>
            </w:pPr>
            <w:r w:rsidRPr="00371BB1">
              <w:rPr>
                <w:rStyle w:val="ab"/>
                <w:b w:val="0"/>
              </w:rPr>
              <w:t xml:space="preserve">          </w:t>
            </w:r>
            <w:proofErr w:type="spellStart"/>
            <w:r w:rsidRPr="00371BB1">
              <w:rPr>
                <w:rStyle w:val="ab"/>
                <w:b w:val="0"/>
              </w:rPr>
              <w:t>п.Добринка</w:t>
            </w:r>
            <w:proofErr w:type="spellEnd"/>
          </w:p>
          <w:p w:rsidR="001706D7" w:rsidRPr="00371BB1" w:rsidRDefault="001706D7" w:rsidP="001706D7">
            <w:pPr>
              <w:rPr>
                <w:rStyle w:val="ab"/>
                <w:b w:val="0"/>
              </w:rPr>
            </w:pPr>
          </w:p>
        </w:tc>
        <w:tc>
          <w:tcPr>
            <w:tcW w:w="3517" w:type="dxa"/>
          </w:tcPr>
          <w:p w:rsidR="001706D7" w:rsidRPr="00371BB1" w:rsidRDefault="001706D7" w:rsidP="00BB1556">
            <w:pPr>
              <w:spacing w:line="360" w:lineRule="atLeast"/>
              <w:rPr>
                <w:rStyle w:val="ab"/>
                <w:b w:val="0"/>
              </w:rPr>
            </w:pPr>
            <w:r w:rsidRPr="00371BB1">
              <w:rPr>
                <w:rStyle w:val="ab"/>
                <w:b w:val="0"/>
              </w:rPr>
              <w:t xml:space="preserve">                      №</w:t>
            </w:r>
            <w:r w:rsidR="009506C3" w:rsidRPr="00371BB1">
              <w:rPr>
                <w:rStyle w:val="ab"/>
                <w:b w:val="0"/>
              </w:rPr>
              <w:t>109</w:t>
            </w:r>
            <w:r w:rsidRPr="00371BB1">
              <w:rPr>
                <w:rStyle w:val="ab"/>
                <w:b w:val="0"/>
              </w:rPr>
              <w:t xml:space="preserve">  </w:t>
            </w:r>
          </w:p>
        </w:tc>
      </w:tr>
    </w:tbl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Об утверждении Порядка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>реализации и проведения 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 </w:t>
      </w:r>
      <w:proofErr w:type="spellStart"/>
      <w:r w:rsidR="00371BB1">
        <w:rPr>
          <w:b/>
        </w:rPr>
        <w:t>Добринский</w:t>
      </w:r>
      <w:proofErr w:type="spellEnd"/>
      <w:r w:rsidR="001706D7">
        <w:rPr>
          <w:b/>
        </w:rPr>
        <w:t xml:space="preserve"> сельсовет</w:t>
      </w:r>
      <w:r w:rsidRPr="001706D7">
        <w:rPr>
          <w:b/>
        </w:rPr>
        <w:t xml:space="preserve"> </w:t>
      </w:r>
      <w:proofErr w:type="spellStart"/>
      <w:r w:rsidRPr="001706D7">
        <w:rPr>
          <w:b/>
        </w:rPr>
        <w:t>Добринского</w:t>
      </w:r>
      <w:proofErr w:type="spellEnd"/>
      <w:r w:rsidR="001706D7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1706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C768C" w:rsidRPr="001706D7" w:rsidRDefault="006C76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DA6" w:rsidRPr="006A5DA6" w:rsidRDefault="006A5DA6" w:rsidP="006C7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:rsidR="006A5DA6" w:rsidRDefault="006A5DA6" w:rsidP="006C7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D2095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2095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администрации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  от </w:t>
      </w:r>
      <w:r w:rsidR="00D2095C">
        <w:rPr>
          <w:rFonts w:ascii="Times New Roman" w:hAnsi="Times New Roman" w:cs="Times New Roman"/>
          <w:sz w:val="24"/>
          <w:szCs w:val="24"/>
        </w:rPr>
        <w:t>1</w:t>
      </w:r>
      <w:r w:rsidR="006C768C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сентября 2013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095C">
        <w:rPr>
          <w:rFonts w:ascii="Times New Roman" w:hAnsi="Times New Roman" w:cs="Times New Roman"/>
          <w:sz w:val="24"/>
          <w:szCs w:val="24"/>
        </w:rPr>
        <w:t>№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C768C">
        <w:rPr>
          <w:rFonts w:ascii="Times New Roman" w:hAnsi="Times New Roman" w:cs="Times New Roman"/>
          <w:sz w:val="24"/>
          <w:szCs w:val="24"/>
        </w:rPr>
        <w:t>68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</w:t>
      </w:r>
      <w:r w:rsidR="00D2095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" 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371BB1">
        <w:rPr>
          <w:rFonts w:eastAsiaTheme="minorHAnsi"/>
          <w:lang w:eastAsia="en-US"/>
        </w:rPr>
        <w:t>Добринский</w:t>
      </w:r>
      <w:proofErr w:type="spellEnd"/>
      <w:r w:rsidR="00A7618E">
        <w:rPr>
          <w:rFonts w:eastAsiaTheme="minorHAnsi"/>
          <w:lang w:eastAsia="en-US"/>
        </w:rPr>
        <w:t xml:space="preserve"> сельсовет </w:t>
      </w:r>
      <w:proofErr w:type="spellStart"/>
      <w:r w:rsidR="00671831">
        <w:rPr>
          <w:rFonts w:eastAsiaTheme="minorHAnsi"/>
          <w:lang w:eastAsia="en-US"/>
        </w:rPr>
        <w:t>Добринского</w:t>
      </w:r>
      <w:proofErr w:type="spellEnd"/>
      <w:r w:rsidR="00671831">
        <w:rPr>
          <w:rFonts w:eastAsiaTheme="minorHAnsi"/>
          <w:lang w:eastAsia="en-US"/>
        </w:rPr>
        <w:t xml:space="preserve"> муниципального </w:t>
      </w:r>
      <w:r w:rsidR="006E7C9C">
        <w:rPr>
          <w:rFonts w:eastAsiaTheme="minorHAnsi"/>
          <w:lang w:eastAsia="en-US"/>
        </w:rPr>
        <w:t>района</w:t>
      </w:r>
      <w:r w:rsidR="006718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371BB1" w:rsidP="00A7618E">
      <w:pPr>
        <w:tabs>
          <w:tab w:val="left" w:pos="6602"/>
        </w:tabs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Добринский</w:t>
      </w:r>
      <w:proofErr w:type="spellEnd"/>
      <w:r w:rsidR="00A7618E">
        <w:rPr>
          <w:sz w:val="25"/>
          <w:szCs w:val="25"/>
        </w:rPr>
        <w:t xml:space="preserve"> сельсовет</w:t>
      </w:r>
      <w:r w:rsidR="00A7618E">
        <w:rPr>
          <w:sz w:val="25"/>
          <w:szCs w:val="25"/>
        </w:rPr>
        <w:tab/>
      </w:r>
      <w:r w:rsidR="006C768C">
        <w:rPr>
          <w:sz w:val="25"/>
          <w:szCs w:val="25"/>
        </w:rPr>
        <w:tab/>
      </w:r>
      <w:r w:rsidR="006C768C">
        <w:rPr>
          <w:sz w:val="25"/>
          <w:szCs w:val="25"/>
        </w:rPr>
        <w:tab/>
      </w:r>
      <w:proofErr w:type="spellStart"/>
      <w:r w:rsidR="00C160D4">
        <w:rPr>
          <w:sz w:val="25"/>
          <w:szCs w:val="25"/>
        </w:rPr>
        <w:t>Н</w:t>
      </w:r>
      <w:r w:rsidR="006C768C">
        <w:rPr>
          <w:sz w:val="25"/>
          <w:szCs w:val="25"/>
        </w:rPr>
        <w:t>.В.Чижов</w:t>
      </w:r>
      <w:proofErr w:type="spellEnd"/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 w:rsidP="006A5DA6">
      <w:pPr>
        <w:jc w:val="both"/>
      </w:pPr>
    </w:p>
    <w:p w:rsidR="006C768C" w:rsidRDefault="006C768C" w:rsidP="006A5DA6">
      <w:pPr>
        <w:jc w:val="both"/>
      </w:pPr>
    </w:p>
    <w:p w:rsidR="006C768C" w:rsidRPr="00954C3A" w:rsidRDefault="006C768C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371BB1">
        <w:rPr>
          <w:rFonts w:ascii="Times New Roman" w:hAnsi="Times New Roman" w:cs="Times New Roman"/>
          <w:sz w:val="20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6C768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0</w:t>
      </w:r>
      <w:r w:rsidR="00C160D4">
        <w:rPr>
          <w:rFonts w:ascii="Times New Roman" w:hAnsi="Times New Roman" w:cs="Times New Roman"/>
          <w:sz w:val="20"/>
          <w:szCs w:val="24"/>
        </w:rPr>
        <w:t>1</w:t>
      </w:r>
      <w:r w:rsidR="00A7618E">
        <w:rPr>
          <w:rFonts w:ascii="Times New Roman" w:hAnsi="Times New Roman" w:cs="Times New Roman"/>
          <w:sz w:val="20"/>
          <w:szCs w:val="24"/>
        </w:rPr>
        <w:t xml:space="preserve">.10.2018г.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>
        <w:rPr>
          <w:rFonts w:ascii="Times New Roman" w:hAnsi="Times New Roman" w:cs="Times New Roman"/>
          <w:sz w:val="20"/>
          <w:szCs w:val="24"/>
        </w:rPr>
        <w:t>109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proofErr w:type="spellStart"/>
      <w:r w:rsidR="00371BB1">
        <w:rPr>
          <w:szCs w:val="28"/>
        </w:rPr>
        <w:t>Добринский</w:t>
      </w:r>
      <w:proofErr w:type="spellEnd"/>
      <w:r w:rsidRPr="00FE1D14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FE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Муниципальная программа разрабатывается на срок, необходимый для </w:t>
      </w:r>
      <w:r w:rsidR="006A5DA6" w:rsidRPr="006A5DA6">
        <w:rPr>
          <w:rFonts w:ascii="Times New Roman" w:hAnsi="Times New Roman" w:cs="Times New Roman"/>
          <w:sz w:val="24"/>
          <w:szCs w:val="24"/>
        </w:rPr>
        <w:lastRenderedPageBreak/>
        <w:t>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BB1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>Липецкой области, если иные сроки не установлены нормативными правовыми актами.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Расходы на обеспечение функций органа местного самоуправления,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самоуправления.</w:t>
      </w:r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46469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46469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6A5DA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краткое описание целей и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6A5DA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</w:t>
      </w:r>
      <w:r w:rsidR="00F13A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F13A1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F13A1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к) методики расчетов целевых индикаторов и показателей задач муниципальной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C50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C50F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C50F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C50F9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C50F9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Включение в подпрограмму основных мероприятий, реализация которых направлена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C50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6A5DA6" w:rsidRPr="006A5DA6" w:rsidRDefault="006A5DA6" w:rsidP="00025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0253A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сельского поселения в срок до 1 августа текущего финансового года разрабатывает проект муниципальной программы</w:t>
      </w:r>
      <w:r w:rsidRPr="000253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02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</w:t>
      </w:r>
      <w:r w:rsidR="00E45703">
        <w:rPr>
          <w:rFonts w:ascii="Times New Roman" w:hAnsi="Times New Roman" w:cs="Times New Roman"/>
          <w:sz w:val="24"/>
          <w:szCs w:val="24"/>
        </w:rPr>
        <w:t>ноября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8C444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8C4442" w:rsidRPr="008C4442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End w:id="9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6A5DA6" w:rsidRDefault="000678E2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4 пункта </w:t>
        </w:r>
        <w:r w:rsidR="006A5DA6" w:rsidRPr="000678E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</w:t>
      </w:r>
      <w:r w:rsidR="00B04456">
        <w:rPr>
          <w:rFonts w:ascii="Times New Roman" w:hAnsi="Times New Roman" w:cs="Times New Roman"/>
          <w:sz w:val="24"/>
          <w:szCs w:val="24"/>
        </w:rPr>
        <w:t>ноября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6A5DA6" w:rsidRPr="006A5DA6" w:rsidRDefault="006A5DA6" w:rsidP="008C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B961BC" w:rsidRDefault="00B961BC" w:rsidP="00B961BC">
      <w:pPr>
        <w:ind w:firstLine="709"/>
        <w:jc w:val="both"/>
      </w:pPr>
      <w:bookmarkStart w:id="11" w:name="P177"/>
      <w:bookmarkEnd w:id="11"/>
      <w:r>
        <w:t>17</w:t>
      </w:r>
      <w:r w:rsidR="006A5DA6" w:rsidRPr="006A5DA6">
        <w:t xml:space="preserve">. </w:t>
      </w:r>
      <w:r w:rsidRPr="00B961BC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proofErr w:type="spellStart"/>
      <w:r w:rsidR="00371BB1">
        <w:t>Добринский</w:t>
      </w:r>
      <w:proofErr w:type="spellEnd"/>
      <w:r w:rsidRPr="00B961BC">
        <w:t xml:space="preserve"> сельсовет </w:t>
      </w:r>
      <w:proofErr w:type="spellStart"/>
      <w:r>
        <w:t>Добринского</w:t>
      </w:r>
      <w:proofErr w:type="spellEnd"/>
      <w:r w:rsidRPr="00B961BC">
        <w:t xml:space="preserve"> муниципального района Липецкой области Российской Федерации, утвержденным постановлением администрации</w:t>
      </w:r>
      <w:r>
        <w:t xml:space="preserve"> сельского</w:t>
      </w:r>
      <w:r w:rsidRPr="00B961BC">
        <w:t xml:space="preserve"> поселения. 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7"/>
      <w:bookmarkStart w:id="13" w:name="P193"/>
      <w:bookmarkEnd w:id="12"/>
      <w:bookmarkEnd w:id="13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7E3570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9"/>
      <w:bookmarkEnd w:id="14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9"/>
      <w:bookmarkEnd w:id="15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440A8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440A86" w:rsidRPr="00440A86">
        <w:rPr>
          <w:rFonts w:ascii="Times New Roman" w:hAnsi="Times New Roman" w:cs="Times New Roman"/>
          <w:sz w:val="24"/>
          <w:szCs w:val="24"/>
        </w:rPr>
        <w:t>1</w:t>
      </w:r>
      <w:r w:rsidRPr="00440A8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 w:rsidP="00273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16"/>
      <w:bookmarkEnd w:id="16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9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27352" w:rsidRDefault="00B273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8" w:name="P285"/>
      <w:bookmarkEnd w:id="18"/>
    </w:p>
    <w:p w:rsidR="00B27352" w:rsidRDefault="00B273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27352" w:rsidRDefault="00B273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27352" w:rsidRDefault="00B2735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09"/>
      <w:bookmarkEnd w:id="19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A5DA6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59"/>
      <w:bookmarkEnd w:id="20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68"/>
            <w:bookmarkEnd w:id="2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  <w:bookmarkStart w:id="22" w:name="P635"/>
      <w:bookmarkEnd w:id="22"/>
      <w:r w:rsidR="00A37469">
        <w:rPr>
          <w:rFonts w:ascii="Times New Roman" w:hAnsi="Times New Roman" w:cs="Times New Roman"/>
          <w:sz w:val="24"/>
          <w:szCs w:val="24"/>
        </w:rPr>
        <w:t>.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При   заполнении  </w:t>
      </w:r>
      <w:hyperlink w:anchor="P368" w:history="1">
        <w:proofErr w:type="gram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  <w:proofErr w:type="gramEnd"/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случае,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органов 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  <w:bookmarkStart w:id="23" w:name="P644"/>
      <w:bookmarkEnd w:id="23"/>
      <w:r w:rsidR="00A37469">
        <w:rPr>
          <w:rFonts w:ascii="Times New Roman" w:hAnsi="Times New Roman" w:cs="Times New Roman"/>
          <w:sz w:val="24"/>
          <w:szCs w:val="24"/>
        </w:rPr>
        <w:t>.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  строках   с   целевыми   индикаторами   и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показателями  указывается</w:t>
      </w:r>
      <w:proofErr w:type="gramEnd"/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  <w:bookmarkStart w:id="24" w:name="P648"/>
      <w:bookmarkEnd w:id="24"/>
      <w:r w:rsidR="00A37469">
        <w:rPr>
          <w:rFonts w:ascii="Times New Roman" w:hAnsi="Times New Roman" w:cs="Times New Roman"/>
          <w:sz w:val="24"/>
          <w:szCs w:val="24"/>
        </w:rPr>
        <w:t>.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Объемы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финансирования  по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469" w:rsidRDefault="00A37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469" w:rsidRDefault="00A37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469" w:rsidRPr="006A5DA6" w:rsidRDefault="00A37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679"/>
      <w:bookmarkEnd w:id="25"/>
      <w:r w:rsidRPr="006A5DA6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 обеспечения на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05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832"/>
      <w:bookmarkEnd w:id="27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38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41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960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муниципальных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371BB1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Добринский</w:t>
      </w:r>
      <w:proofErr w:type="spellEnd"/>
      <w:r w:rsidR="00C660BC"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сельсовет </w:t>
      </w:r>
      <w:proofErr w:type="spellStart"/>
      <w:r w:rsidR="00BA78A7">
        <w:rPr>
          <w:sz w:val="20"/>
          <w:szCs w:val="28"/>
        </w:rPr>
        <w:t>Добринского</w:t>
      </w:r>
      <w:proofErr w:type="spellEnd"/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муниципального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08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0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мероприятий,  предусмотренных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планом   реализации,   возможно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193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371BB1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Добринский</w:t>
      </w:r>
      <w:proofErr w:type="spellEnd"/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proofErr w:type="spellStart"/>
      <w:r w:rsidR="002C507C">
        <w:rPr>
          <w:sz w:val="20"/>
          <w:szCs w:val="28"/>
        </w:rPr>
        <w:t>Добринского</w:t>
      </w:r>
      <w:proofErr w:type="spellEnd"/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211"/>
      <w:bookmarkEnd w:id="3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390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418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583"/>
      <w:bookmarkEnd w:id="3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15"/>
      <w:bookmarkEnd w:id="3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371BB1" w:rsidP="00B84A11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Добринский</w:t>
      </w:r>
      <w:proofErr w:type="spellEnd"/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proofErr w:type="spellStart"/>
      <w:r w:rsidR="00B84A11">
        <w:rPr>
          <w:sz w:val="20"/>
          <w:szCs w:val="28"/>
        </w:rPr>
        <w:t>Добринского</w:t>
      </w:r>
      <w:proofErr w:type="spellEnd"/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743"/>
      <w:bookmarkEnd w:id="3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751"/>
            <w:bookmarkEnd w:id="4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15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024"/>
      <w:bookmarkEnd w:id="4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2052"/>
      <w:bookmarkEnd w:id="43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106"/>
      <w:bookmarkEnd w:id="4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371BB1">
        <w:rPr>
          <w:sz w:val="20"/>
          <w:szCs w:val="28"/>
        </w:rPr>
        <w:t>Добринский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2131"/>
      <w:bookmarkEnd w:id="4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A6"/>
    <w:rsid w:val="000253A6"/>
    <w:rsid w:val="00047EE2"/>
    <w:rsid w:val="000678E2"/>
    <w:rsid w:val="000D5DB3"/>
    <w:rsid w:val="001706D7"/>
    <w:rsid w:val="001E581C"/>
    <w:rsid w:val="002533EC"/>
    <w:rsid w:val="002731F3"/>
    <w:rsid w:val="002B49AA"/>
    <w:rsid w:val="002C507C"/>
    <w:rsid w:val="00370433"/>
    <w:rsid w:val="00371BB1"/>
    <w:rsid w:val="00380D5C"/>
    <w:rsid w:val="003B7046"/>
    <w:rsid w:val="00440A86"/>
    <w:rsid w:val="00464591"/>
    <w:rsid w:val="0046469C"/>
    <w:rsid w:val="004A4322"/>
    <w:rsid w:val="004C5EBE"/>
    <w:rsid w:val="005305B5"/>
    <w:rsid w:val="00557E74"/>
    <w:rsid w:val="00671831"/>
    <w:rsid w:val="006A5DA6"/>
    <w:rsid w:val="006C50F9"/>
    <w:rsid w:val="006C768C"/>
    <w:rsid w:val="006E5B54"/>
    <w:rsid w:val="006E7C9C"/>
    <w:rsid w:val="00715A89"/>
    <w:rsid w:val="0075798D"/>
    <w:rsid w:val="007C6000"/>
    <w:rsid w:val="007E3570"/>
    <w:rsid w:val="007F77FC"/>
    <w:rsid w:val="008047C6"/>
    <w:rsid w:val="008C4442"/>
    <w:rsid w:val="009464BD"/>
    <w:rsid w:val="009506C3"/>
    <w:rsid w:val="00954C3A"/>
    <w:rsid w:val="00977E70"/>
    <w:rsid w:val="00982236"/>
    <w:rsid w:val="009A449F"/>
    <w:rsid w:val="00A37469"/>
    <w:rsid w:val="00A4490B"/>
    <w:rsid w:val="00A510CA"/>
    <w:rsid w:val="00A7618E"/>
    <w:rsid w:val="00AC1E01"/>
    <w:rsid w:val="00B04456"/>
    <w:rsid w:val="00B27352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660BC"/>
    <w:rsid w:val="00C663CF"/>
    <w:rsid w:val="00CD6BD9"/>
    <w:rsid w:val="00D2095C"/>
    <w:rsid w:val="00D318DF"/>
    <w:rsid w:val="00D53A58"/>
    <w:rsid w:val="00E45703"/>
    <w:rsid w:val="00EC3D8E"/>
    <w:rsid w:val="00F13A18"/>
    <w:rsid w:val="00F76C09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FF4"/>
  <w15:docId w15:val="{523C87B3-927E-4DAB-B8F8-630420F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371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232A6715FF26B9613185F377C2305694235D541111DEu1d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9E4F-F457-483E-BF00-9B8E4EF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37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2018-11-12T12:28:00Z</cp:lastPrinted>
  <dcterms:created xsi:type="dcterms:W3CDTF">2018-10-11T11:38:00Z</dcterms:created>
  <dcterms:modified xsi:type="dcterms:W3CDTF">2018-11-12T12:30:00Z</dcterms:modified>
</cp:coreProperties>
</file>