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8A1162" w:rsidRDefault="00C1562D" w:rsidP="001F2348">
      <w:pPr>
        <w:ind w:left="5245"/>
        <w:rPr>
          <w:i/>
          <w:iCs/>
          <w:sz w:val="26"/>
          <w:szCs w:val="26"/>
        </w:rPr>
      </w:pPr>
      <w:r w:rsidRPr="00471CBC">
        <w:rPr>
          <w:bCs/>
          <w:sz w:val="26"/>
          <w:szCs w:val="26"/>
        </w:rPr>
        <w:t xml:space="preserve">            </w:t>
      </w:r>
    </w:p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D6484E" w:rsidRDefault="00D6484E" w:rsidP="00D6484E">
      <w:pPr>
        <w:pStyle w:val="a5"/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b/>
          <w:kern w:val="36"/>
          <w:sz w:val="26"/>
          <w:szCs w:val="26"/>
        </w:rPr>
        <w:t xml:space="preserve">Обязанность декларировать доход от продажи имущества возникает </w:t>
      </w:r>
      <w:r w:rsidR="007044C9">
        <w:rPr>
          <w:rFonts w:eastAsia="Times New Roman"/>
          <w:b/>
          <w:kern w:val="36"/>
          <w:sz w:val="26"/>
          <w:szCs w:val="26"/>
        </w:rPr>
        <w:t>н</w:t>
      </w:r>
      <w:r>
        <w:rPr>
          <w:rFonts w:eastAsia="Times New Roman"/>
          <w:b/>
          <w:kern w:val="36"/>
          <w:sz w:val="26"/>
          <w:szCs w:val="26"/>
        </w:rPr>
        <w:t>е всегда</w:t>
      </w:r>
    </w:p>
    <w:p w:rsidR="00D6484E" w:rsidRDefault="00D6484E" w:rsidP="00D6484E">
      <w:pPr>
        <w:pStyle w:val="a5"/>
        <w:spacing w:line="276" w:lineRule="auto"/>
        <w:jc w:val="both"/>
        <w:rPr>
          <w:sz w:val="26"/>
          <w:szCs w:val="26"/>
        </w:rPr>
      </w:pPr>
    </w:p>
    <w:p w:rsidR="00D6484E" w:rsidRPr="001F2348" w:rsidRDefault="00D6484E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>При продаже имущества у налогоплательщика-физического лица возникает обязанность по окончании года, в котором был получен доход, и в срок до 30 апреля представить в налоговые органы декларацию о доходах по форме 3-НДФЛ</w:t>
      </w:r>
      <w:r w:rsidR="006053C9" w:rsidRPr="001F2348">
        <w:rPr>
          <w:color w:val="000000" w:themeColor="text1"/>
          <w:sz w:val="26"/>
          <w:szCs w:val="26"/>
        </w:rPr>
        <w:t xml:space="preserve"> и уплатить налог с полученного дохода.</w:t>
      </w:r>
      <w:r w:rsidRPr="001F2348">
        <w:rPr>
          <w:color w:val="000000" w:themeColor="text1"/>
          <w:sz w:val="26"/>
          <w:szCs w:val="26"/>
        </w:rPr>
        <w:t xml:space="preserve"> Однако</w:t>
      </w:r>
      <w:proofErr w:type="gramStart"/>
      <w:r w:rsidRPr="001F2348">
        <w:rPr>
          <w:color w:val="000000" w:themeColor="text1"/>
          <w:sz w:val="26"/>
          <w:szCs w:val="26"/>
        </w:rPr>
        <w:t>,</w:t>
      </w:r>
      <w:proofErr w:type="gramEnd"/>
      <w:r w:rsidRPr="001F2348">
        <w:rPr>
          <w:color w:val="000000" w:themeColor="text1"/>
          <w:sz w:val="26"/>
          <w:szCs w:val="26"/>
        </w:rPr>
        <w:t xml:space="preserve"> законодательством предусмотрены доходы, при получении которых  налогоплательщик освобождается от исполнения этой обязанности. К ним относятся:</w:t>
      </w:r>
    </w:p>
    <w:p w:rsidR="00F8307C" w:rsidRPr="001F2348" w:rsidRDefault="00F8307C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>1.</w:t>
      </w:r>
      <w:r w:rsidR="00D6484E" w:rsidRPr="001F2348">
        <w:rPr>
          <w:color w:val="000000" w:themeColor="text1"/>
          <w:sz w:val="26"/>
          <w:szCs w:val="26"/>
        </w:rPr>
        <w:t xml:space="preserve"> </w:t>
      </w:r>
      <w:r w:rsidRPr="001F2348">
        <w:rPr>
          <w:color w:val="000000" w:themeColor="text1"/>
          <w:sz w:val="26"/>
          <w:szCs w:val="26"/>
        </w:rPr>
        <w:t>Д</w:t>
      </w:r>
      <w:r w:rsidR="00D6484E" w:rsidRPr="001F2348">
        <w:rPr>
          <w:color w:val="000000" w:themeColor="text1"/>
          <w:sz w:val="26"/>
          <w:szCs w:val="26"/>
        </w:rPr>
        <w:t>оходы от продажи объекта недвижимости</w:t>
      </w:r>
      <w:hyperlink r:id="rId6" w:tgtFrame="_blank" w:history="1"/>
      <w:r w:rsidRPr="001F2348">
        <w:rPr>
          <w:color w:val="000000" w:themeColor="text1"/>
          <w:sz w:val="26"/>
          <w:szCs w:val="26"/>
        </w:rPr>
        <w:t xml:space="preserve">, </w:t>
      </w:r>
      <w:r w:rsidR="00D6484E" w:rsidRPr="001F2348">
        <w:rPr>
          <w:color w:val="000000" w:themeColor="text1"/>
          <w:sz w:val="26"/>
          <w:szCs w:val="26"/>
        </w:rPr>
        <w:t>если он находился в собственности у налогоплательщика в течение минимального предельного срока владения имуществом - пяти лет.</w:t>
      </w:r>
      <w:r w:rsidRPr="001F2348">
        <w:rPr>
          <w:color w:val="000000" w:themeColor="text1"/>
          <w:sz w:val="26"/>
          <w:szCs w:val="26"/>
        </w:rPr>
        <w:t xml:space="preserve"> </w:t>
      </w:r>
      <w:r w:rsidR="00D6484E" w:rsidRPr="001F2348">
        <w:rPr>
          <w:color w:val="000000" w:themeColor="text1"/>
          <w:sz w:val="26"/>
          <w:szCs w:val="26"/>
        </w:rPr>
        <w:t>При этом минимальный срок может составлять три года, если</w:t>
      </w:r>
      <w:r w:rsidRPr="001F2348">
        <w:rPr>
          <w:color w:val="000000" w:themeColor="text1"/>
          <w:sz w:val="26"/>
          <w:szCs w:val="26"/>
        </w:rPr>
        <w:t>:</w:t>
      </w:r>
    </w:p>
    <w:p w:rsidR="00D6484E" w:rsidRPr="001F2348" w:rsidRDefault="00F8307C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 xml:space="preserve"> право собственности на недвижимое имущество получено</w:t>
      </w:r>
      <w:r w:rsidRPr="001F2348">
        <w:rPr>
          <w:color w:val="000000" w:themeColor="text1"/>
          <w:sz w:val="26"/>
          <w:szCs w:val="26"/>
        </w:rPr>
        <w:t xml:space="preserve"> </w:t>
      </w:r>
      <w:r w:rsidR="00D6484E" w:rsidRPr="001F2348">
        <w:rPr>
          <w:color w:val="000000" w:themeColor="text1"/>
          <w:sz w:val="26"/>
          <w:szCs w:val="26"/>
        </w:rPr>
        <w:t xml:space="preserve"> в порядке наследования или </w:t>
      </w:r>
      <w:r w:rsidRPr="001F2348">
        <w:rPr>
          <w:color w:val="000000" w:themeColor="text1"/>
          <w:sz w:val="26"/>
          <w:szCs w:val="26"/>
        </w:rPr>
        <w:t>дарения</w:t>
      </w:r>
      <w:r w:rsidR="00D6484E" w:rsidRPr="001F2348">
        <w:rPr>
          <w:color w:val="000000" w:themeColor="text1"/>
          <w:sz w:val="26"/>
          <w:szCs w:val="26"/>
        </w:rPr>
        <w:t xml:space="preserve"> от члена </w:t>
      </w:r>
      <w:r w:rsidRPr="001F2348">
        <w:rPr>
          <w:color w:val="000000" w:themeColor="text1"/>
          <w:sz w:val="26"/>
          <w:szCs w:val="26"/>
        </w:rPr>
        <w:t xml:space="preserve">его </w:t>
      </w:r>
      <w:r w:rsidR="00D6484E" w:rsidRPr="001F2348">
        <w:rPr>
          <w:color w:val="000000" w:themeColor="text1"/>
          <w:sz w:val="26"/>
          <w:szCs w:val="26"/>
        </w:rPr>
        <w:t>семьи или </w:t>
      </w:r>
      <w:hyperlink r:id="rId7" w:tgtFrame="_blank" w:history="1">
        <w:r w:rsidR="00D6484E" w:rsidRPr="001F2348">
          <w:rPr>
            <w:color w:val="000000" w:themeColor="text1"/>
            <w:sz w:val="26"/>
            <w:szCs w:val="26"/>
          </w:rPr>
          <w:t>близкого родственника</w:t>
        </w:r>
      </w:hyperlink>
      <w:r w:rsidR="00D6484E" w:rsidRPr="001F2348">
        <w:rPr>
          <w:color w:val="000000" w:themeColor="text1"/>
          <w:sz w:val="26"/>
          <w:szCs w:val="26"/>
        </w:rPr>
        <w:t>;</w:t>
      </w:r>
      <w:r w:rsidRPr="001F2348">
        <w:rPr>
          <w:color w:val="000000" w:themeColor="text1"/>
          <w:sz w:val="26"/>
          <w:szCs w:val="26"/>
        </w:rPr>
        <w:t xml:space="preserve"> </w:t>
      </w:r>
      <w:r w:rsidR="00D6484E" w:rsidRPr="001F2348">
        <w:rPr>
          <w:color w:val="000000" w:themeColor="text1"/>
          <w:sz w:val="26"/>
          <w:szCs w:val="26"/>
        </w:rPr>
        <w:t>в результате приватизации;</w:t>
      </w:r>
      <w:r w:rsidRPr="001F2348">
        <w:rPr>
          <w:color w:val="000000" w:themeColor="text1"/>
          <w:sz w:val="26"/>
          <w:szCs w:val="26"/>
        </w:rPr>
        <w:t xml:space="preserve"> </w:t>
      </w:r>
      <w:r w:rsidR="00D6484E" w:rsidRPr="001F2348">
        <w:rPr>
          <w:color w:val="000000" w:themeColor="text1"/>
          <w:sz w:val="26"/>
          <w:szCs w:val="26"/>
        </w:rPr>
        <w:t>плательщиком ренты в результате передачи имущества по договору пожизненного содержания с иждивением;</w:t>
      </w:r>
    </w:p>
    <w:p w:rsidR="00D6484E" w:rsidRPr="001F2348" w:rsidRDefault="00F8307C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 xml:space="preserve">в собственности у гражданина (включая совместную собственность супругов) на дату регистрации перехода права собственности на проданное имущество не </w:t>
      </w:r>
      <w:r w:rsidRPr="001F2348">
        <w:rPr>
          <w:color w:val="000000" w:themeColor="text1"/>
          <w:sz w:val="26"/>
          <w:szCs w:val="26"/>
        </w:rPr>
        <w:t>нет</w:t>
      </w:r>
      <w:r w:rsidR="00D6484E" w:rsidRPr="001F2348">
        <w:rPr>
          <w:color w:val="000000" w:themeColor="text1"/>
          <w:sz w:val="26"/>
          <w:szCs w:val="26"/>
        </w:rPr>
        <w:t xml:space="preserve"> иного жилого помещения. При </w:t>
      </w:r>
      <w:r w:rsidRPr="001F2348">
        <w:rPr>
          <w:color w:val="000000" w:themeColor="text1"/>
          <w:sz w:val="26"/>
          <w:szCs w:val="26"/>
        </w:rPr>
        <w:t xml:space="preserve">этом </w:t>
      </w:r>
      <w:r w:rsidR="00D6484E" w:rsidRPr="001F2348">
        <w:rPr>
          <w:color w:val="000000" w:themeColor="text1"/>
          <w:sz w:val="26"/>
          <w:szCs w:val="26"/>
        </w:rPr>
        <w:t>не учитывается недвижимое имущество, приобретенное данным лицом или его супругом(супругой) в течение 90 дней до даты регистрации права собственности на проданное имущество.</w:t>
      </w:r>
    </w:p>
    <w:p w:rsidR="00D6484E" w:rsidRPr="001F2348" w:rsidRDefault="00F8307C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В случае приобретения недвижимости по договору долевого участия </w:t>
      </w:r>
      <w:r w:rsidR="00D6484E" w:rsidRPr="001F2348">
        <w:rPr>
          <w:color w:val="000000" w:themeColor="text1"/>
          <w:sz w:val="26"/>
          <w:szCs w:val="26"/>
        </w:rPr>
        <w:t xml:space="preserve">минимальный предельный срок владения объектом отсчитывается с момента полной оплаты стоимости объекта по договору. </w:t>
      </w:r>
    </w:p>
    <w:p w:rsidR="00F8307C" w:rsidRPr="001F2348" w:rsidRDefault="00F8307C" w:rsidP="00F8307C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>Для иного имущества (гараж, автомобиль и т.д.) минимальный срок владения составляет три года.</w:t>
      </w:r>
    </w:p>
    <w:p w:rsidR="00F8307C" w:rsidRPr="001F2348" w:rsidRDefault="00F8307C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6484E" w:rsidRPr="001F2348" w:rsidRDefault="00F8307C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>2. Начиная с 2021 года - д</w:t>
      </w:r>
      <w:r w:rsidR="00D6484E" w:rsidRPr="001F2348">
        <w:rPr>
          <w:color w:val="000000" w:themeColor="text1"/>
          <w:sz w:val="26"/>
          <w:szCs w:val="26"/>
        </w:rPr>
        <w:t xml:space="preserve">оходы семей с двумя и более несовершеннолетними детьми, </w:t>
      </w:r>
      <w:r w:rsidR="006053C9" w:rsidRPr="001F2348">
        <w:rPr>
          <w:color w:val="000000" w:themeColor="text1"/>
          <w:sz w:val="26"/>
          <w:szCs w:val="26"/>
        </w:rPr>
        <w:t xml:space="preserve">а также доходы от продажи имущества несовершеннолетний ребенок из такой семьи </w:t>
      </w:r>
      <w:r w:rsidR="00D6484E" w:rsidRPr="001F2348">
        <w:rPr>
          <w:color w:val="000000" w:themeColor="text1"/>
          <w:sz w:val="26"/>
          <w:szCs w:val="26"/>
        </w:rPr>
        <w:t>полученные от продажи жилья</w:t>
      </w:r>
      <w:r w:rsidR="006053C9" w:rsidRPr="001F2348">
        <w:rPr>
          <w:color w:val="000000" w:themeColor="text1"/>
          <w:sz w:val="26"/>
          <w:szCs w:val="26"/>
        </w:rPr>
        <w:t xml:space="preserve"> н</w:t>
      </w:r>
      <w:r w:rsidR="00D6484E" w:rsidRPr="001F2348">
        <w:rPr>
          <w:color w:val="000000" w:themeColor="text1"/>
          <w:sz w:val="26"/>
          <w:szCs w:val="26"/>
        </w:rPr>
        <w:t>езависимо от срока нахождения такого жилья в </w:t>
      </w:r>
      <w:hyperlink r:id="rId8" w:tgtFrame="_blank" w:history="1">
        <w:r w:rsidR="00D6484E" w:rsidRPr="001F2348">
          <w:rPr>
            <w:color w:val="000000" w:themeColor="text1"/>
            <w:sz w:val="26"/>
            <w:szCs w:val="26"/>
          </w:rPr>
          <w:t>собственности</w:t>
        </w:r>
      </w:hyperlink>
      <w:r w:rsidR="00D6484E" w:rsidRPr="001F2348">
        <w:rPr>
          <w:color w:val="000000" w:themeColor="text1"/>
          <w:sz w:val="26"/>
          <w:szCs w:val="26"/>
        </w:rPr>
        <w:t>. Такой порядок применяется при соблюдении ряда условий:</w:t>
      </w:r>
    </w:p>
    <w:p w:rsidR="00D6484E" w:rsidRPr="001F2348" w:rsidRDefault="006053C9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>до 30 апреля следующего года налогоплательщиком (членами его семьи) приобретено в собственность другое жилье, а в случае долевого строительства – оплачена полная стоимость приобретаемого жилого помещения по договору;</w:t>
      </w:r>
    </w:p>
    <w:p w:rsidR="00D6484E" w:rsidRPr="001F2348" w:rsidRDefault="006053C9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>общая площадь приобретенного жилья превышает по площади или размеру кадастровой стоимости проданное имущество;</w:t>
      </w:r>
    </w:p>
    <w:p w:rsidR="00D6484E" w:rsidRPr="001F2348" w:rsidRDefault="006053C9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>возраст детей до 18 лет (или до 24 лет при обучении ребенка очно);</w:t>
      </w:r>
    </w:p>
    <w:p w:rsidR="00D6484E" w:rsidRPr="001F2348" w:rsidRDefault="006053C9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>кадастровая стоимость проданного жилого помещения не превышает 50 млн рублей;</w:t>
      </w:r>
    </w:p>
    <w:p w:rsidR="00D6484E" w:rsidRPr="001F2348" w:rsidRDefault="006053C9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 xml:space="preserve">налогоплательщику или членам его семьи на дату отчуждения проданного жилья не принадлежит в совокупности более 50% в праве собственности на иное жилое помещение </w:t>
      </w:r>
      <w:r w:rsidR="00D6484E" w:rsidRPr="001F2348">
        <w:rPr>
          <w:color w:val="000000" w:themeColor="text1"/>
          <w:sz w:val="26"/>
          <w:szCs w:val="26"/>
        </w:rPr>
        <w:lastRenderedPageBreak/>
        <w:t>с общей площадью, превышающей общую площадь купленного взамен старого жилого помещения.</w:t>
      </w:r>
    </w:p>
    <w:p w:rsidR="0013095B" w:rsidRPr="001F2348" w:rsidRDefault="0013095B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6484E" w:rsidRPr="001F2348" w:rsidRDefault="0013095B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Кроме того, в соответствии с </w:t>
      </w:r>
      <w:hyperlink r:id="rId9" w:tgtFrame="_blank" w:history="1">
        <w:r w:rsidR="00D6484E" w:rsidRPr="001F2348">
          <w:rPr>
            <w:color w:val="000000" w:themeColor="text1"/>
            <w:sz w:val="26"/>
            <w:szCs w:val="26"/>
            <w:u w:val="single"/>
          </w:rPr>
          <w:t>Федеральным законом от 02.07.2021 № 305-ФЗ</w:t>
        </w:r>
      </w:hyperlink>
      <w:r w:rsidRPr="001F2348">
        <w:rPr>
          <w:color w:val="000000" w:themeColor="text1"/>
          <w:sz w:val="26"/>
          <w:szCs w:val="26"/>
          <w:u w:val="single"/>
        </w:rPr>
        <w:t>,</w:t>
      </w:r>
      <w:r w:rsidR="00D6484E" w:rsidRPr="001F2348">
        <w:rPr>
          <w:color w:val="000000" w:themeColor="text1"/>
          <w:sz w:val="26"/>
          <w:szCs w:val="26"/>
        </w:rPr>
        <w:t> налогоплательщик</w:t>
      </w:r>
      <w:r w:rsidRPr="001F2348">
        <w:rPr>
          <w:color w:val="000000" w:themeColor="text1"/>
          <w:sz w:val="26"/>
          <w:szCs w:val="26"/>
        </w:rPr>
        <w:t xml:space="preserve">, получивший доход от продажи имущества, бывшего в собственности меньше минимального срока владения (три или пять лет), может </w:t>
      </w:r>
      <w:r w:rsidR="00D6484E" w:rsidRPr="001F2348">
        <w:rPr>
          <w:color w:val="000000" w:themeColor="text1"/>
          <w:sz w:val="26"/>
          <w:szCs w:val="26"/>
        </w:rPr>
        <w:t xml:space="preserve">не указывать </w:t>
      </w:r>
      <w:r w:rsidRPr="001F2348">
        <w:rPr>
          <w:color w:val="000000" w:themeColor="text1"/>
          <w:sz w:val="26"/>
          <w:szCs w:val="26"/>
        </w:rPr>
        <w:t xml:space="preserve">такой доход  в декларации 3-НДФЛ в случае, если </w:t>
      </w:r>
      <w:r w:rsidR="00D6484E" w:rsidRPr="001F2348">
        <w:rPr>
          <w:color w:val="000000" w:themeColor="text1"/>
          <w:sz w:val="26"/>
          <w:szCs w:val="26"/>
        </w:rPr>
        <w:t xml:space="preserve"> имеет право на имущественный налоговый вычет в отношении таких объектов в размере:</w:t>
      </w:r>
    </w:p>
    <w:p w:rsidR="00D6484E" w:rsidRPr="001F2348" w:rsidRDefault="0013095B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>1 млн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D6484E" w:rsidRPr="001F2348" w:rsidRDefault="0013095B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>250 тыс. рублей - для иного недвижимого имущества (построек, гаражей и пр.);</w:t>
      </w:r>
    </w:p>
    <w:p w:rsidR="00D6484E" w:rsidRPr="001F2348" w:rsidRDefault="0013095B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 xml:space="preserve">- </w:t>
      </w:r>
      <w:r w:rsidR="00D6484E" w:rsidRPr="001F2348">
        <w:rPr>
          <w:color w:val="000000" w:themeColor="text1"/>
          <w:sz w:val="26"/>
          <w:szCs w:val="26"/>
        </w:rPr>
        <w:t>250 тыс. рублей - для иного имущества (автомобилей, арт-объектов и пр.) за исключением ценных бумаг.</w:t>
      </w:r>
    </w:p>
    <w:p w:rsidR="00D6484E" w:rsidRPr="001F2348" w:rsidRDefault="00D6484E" w:rsidP="00D6484E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1F2348">
        <w:rPr>
          <w:color w:val="000000" w:themeColor="text1"/>
          <w:sz w:val="26"/>
          <w:szCs w:val="26"/>
        </w:rPr>
        <w:t>Стоимость проданного объекта или совокупность доходов от продажи нескольких не должна превышать предельный размер вычета. Если доходы от продажи имущества превышают его размер, обязанность по предоставлению в инспекцию декларации по форме 3-НДФЛ сохраняется.</w:t>
      </w:r>
    </w:p>
    <w:p w:rsidR="00D6484E" w:rsidRDefault="00D6484E" w:rsidP="00D6484E"/>
    <w:p w:rsidR="00C12DD8" w:rsidRPr="00D63C22" w:rsidRDefault="00C12DD8" w:rsidP="00D63C22">
      <w:pPr>
        <w:pStyle w:val="a5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046B" w:rsidRPr="006F2534" w:rsidRDefault="003C3669" w:rsidP="001F2348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bookmarkStart w:id="0" w:name="_GoBack"/>
      <w:r w:rsidRPr="006F2534">
        <w:rPr>
          <w:i/>
          <w:sz w:val="26"/>
          <w:szCs w:val="26"/>
        </w:rPr>
        <w:t xml:space="preserve">                                                                         </w:t>
      </w:r>
      <w:r w:rsidR="00AE2AC2" w:rsidRPr="006F2534">
        <w:rPr>
          <w:i/>
          <w:sz w:val="26"/>
          <w:szCs w:val="26"/>
        </w:rPr>
        <w:t xml:space="preserve">  </w:t>
      </w:r>
      <w:r w:rsidR="001F2348" w:rsidRPr="006F2534">
        <w:rPr>
          <w:b/>
          <w:i/>
          <w:sz w:val="26"/>
          <w:szCs w:val="26"/>
        </w:rPr>
        <w:t>УФНС России по Липецкой области</w:t>
      </w:r>
    </w:p>
    <w:bookmarkEnd w:id="0"/>
    <w:p w:rsidR="00AE2AC2" w:rsidRPr="003C3669" w:rsidRDefault="00AE2AC2" w:rsidP="00572429">
      <w:pPr>
        <w:pStyle w:val="a5"/>
        <w:ind w:firstLine="709"/>
        <w:jc w:val="both"/>
        <w:rPr>
          <w:sz w:val="26"/>
          <w:szCs w:val="26"/>
        </w:rPr>
      </w:pPr>
    </w:p>
    <w:p w:rsidR="00C1562D" w:rsidRPr="00572429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410D7"/>
    <w:rsid w:val="00144CD2"/>
    <w:rsid w:val="001824D9"/>
    <w:rsid w:val="00195DB7"/>
    <w:rsid w:val="001A3EA5"/>
    <w:rsid w:val="001C267A"/>
    <w:rsid w:val="001E3189"/>
    <w:rsid w:val="001F2348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53C9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6F2534"/>
    <w:rsid w:val="007044C9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F029E"/>
    <w:rsid w:val="00D04A46"/>
    <w:rsid w:val="00D1394F"/>
    <w:rsid w:val="00D224D8"/>
    <w:rsid w:val="00D63C22"/>
    <w:rsid w:val="00D6484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290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105807/888134b28b1397ffae87a0ab1e1179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c1fa1aed79f701825b3f2d6adaa4a68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44981B23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5</cp:revision>
  <cp:lastPrinted>2023-05-16T13:20:00Z</cp:lastPrinted>
  <dcterms:created xsi:type="dcterms:W3CDTF">2023-07-05T11:16:00Z</dcterms:created>
  <dcterms:modified xsi:type="dcterms:W3CDTF">2023-07-27T14:32:00Z</dcterms:modified>
</cp:coreProperties>
</file>